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8"/>
          <w:rFonts w:ascii="宋体" w:hAnsi="宋体" w:eastAsia="宋体"/>
          <w:b w:val="0"/>
          <w:sz w:val="28"/>
          <w:szCs w:val="28"/>
        </w:rPr>
      </w:pPr>
      <w:r>
        <w:rPr>
          <w:rStyle w:val="8"/>
          <w:rFonts w:hint="eastAsia" w:ascii="宋体" w:hAnsi="宋体" w:eastAsia="宋体"/>
          <w:sz w:val="28"/>
          <w:szCs w:val="28"/>
        </w:rPr>
        <w:t xml:space="preserve">附件1-报价表：      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零星绿化及维修项目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采购</w:t>
      </w: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（有效报价时间：自发出之日起至2023年11月22日16时止）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670"/>
        <w:gridCol w:w="960"/>
        <w:gridCol w:w="780"/>
        <w:gridCol w:w="1695"/>
        <w:gridCol w:w="855"/>
        <w:gridCol w:w="1230"/>
        <w:gridCol w:w="17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建筑垃圾、石块清理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清理水泥块、石块及清运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新购种植泥土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立方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含运费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新购泥土平整细化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麦冬草载种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园区内路灯地脚螺丝除锈、刷漆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路灯法兰底座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安装路灯底座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空调井杂草清理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人工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学生7号宿舍楼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梯步石材返碱清洗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4#楼广场步行梯步石材返碱清理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广场砖返碱清洗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梯步下面人行道广场砖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梯步石材面打磨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4#楼广场梯步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正面排水沟制作（挖沟）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4#楼广场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正面排水沟明沟沟内瓷砖立面、地面砂浆修粉、水篦子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4#楼广场、花岗石篦子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正大门测温棚墙板翻新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锈蚀部分墙面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正大门保卫室墙板翻新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平方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墙面返碱部分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垃圾清理</w:t>
            </w:r>
          </w:p>
        </w:tc>
        <w:tc>
          <w:tcPr>
            <w:tcW w:w="960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4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计（元）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小写：        大写：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根据采购人指定地点维修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自签订合同且采购人下达维修通知起   天内交完成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2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2023年  月  日</w:t>
            </w:r>
          </w:p>
        </w:tc>
      </w:tr>
    </w:tbl>
    <w:p>
      <w:pPr>
        <w:jc w:val="center"/>
        <w:rPr>
          <w:rFonts w:ascii="楷体" w:hAnsi="楷体" w:eastAsia="楷体" w:cs="仿宋_GB2312"/>
          <w:sz w:val="24"/>
          <w:szCs w:val="24"/>
        </w:rPr>
      </w:pPr>
    </w:p>
    <w:p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备注：1、供应商的报价商品有品牌的，需在备注一栏填写其报价商品品牌。</w:t>
      </w:r>
    </w:p>
    <w:p>
      <w:pPr>
        <w:numPr>
          <w:ilvl w:val="0"/>
          <w:numId w:val="1"/>
        </w:numPr>
        <w:spacing w:line="380" w:lineRule="exact"/>
        <w:ind w:firstLine="1205" w:firstLineChars="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此报价为包干价，含税费、运输费、安装费、人工费等一切费用。</w:t>
      </w:r>
    </w:p>
    <w:p>
      <w:pPr>
        <w:numPr>
          <w:ilvl w:val="0"/>
          <w:numId w:val="1"/>
        </w:numPr>
        <w:spacing w:line="380" w:lineRule="exact"/>
        <w:ind w:firstLine="1205" w:firstLineChars="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此报价必须单价、总价都要报，否则为无效报价。</w:t>
      </w:r>
    </w:p>
    <w:p>
      <w:pPr>
        <w:jc w:val="center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  <w:r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零星绿化及维修采购项目商务要求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1.维修期限：供应商需根据采购人要求按时、按质完成维修。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2.维修地点：采购人指定地点。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3.合同期限：自合同签订生效之日起至付款结束合同自动终止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4.付款方式：项目验收合格后，采购人应按《采购合同》约定，按相关规定程序支付货款。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iMjE1NDVhMjg1YjQxNGEwNDlmNjMzZmY3Y2E1MWYifQ=="/>
  </w:docVars>
  <w:rsids>
    <w:rsidRoot w:val="0054313E"/>
    <w:rsid w:val="00026E83"/>
    <w:rsid w:val="000862ED"/>
    <w:rsid w:val="001006B1"/>
    <w:rsid w:val="00101BB6"/>
    <w:rsid w:val="003F4036"/>
    <w:rsid w:val="005111FF"/>
    <w:rsid w:val="0054313E"/>
    <w:rsid w:val="00590D8E"/>
    <w:rsid w:val="00644C94"/>
    <w:rsid w:val="008C60C9"/>
    <w:rsid w:val="00965AE5"/>
    <w:rsid w:val="009D4F30"/>
    <w:rsid w:val="00C84E3E"/>
    <w:rsid w:val="00E93E86"/>
    <w:rsid w:val="0A5B5B10"/>
    <w:rsid w:val="34B53A4D"/>
    <w:rsid w:val="35643762"/>
    <w:rsid w:val="373022A9"/>
    <w:rsid w:val="660D32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630</Words>
  <Characters>668</Characters>
  <Lines>6</Lines>
  <Paragraphs>1</Paragraphs>
  <TotalTime>9</TotalTime>
  <ScaleCrop>false</ScaleCrop>
  <LinksUpToDate>false</LinksUpToDate>
  <CharactersWithSpaces>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2023-08-26T08:07:00Z</dcterms:created>
  <dc:creator>NTKO</dc:creator>
  <cp:lastModifiedBy>WPS_1663724080</cp:lastModifiedBy>
  <dcterms:modified xsi:type="dcterms:W3CDTF">2023-11-17T06:57:45Z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84ED53C1FD9547299CFFF5405D15A7FB_13</vt:lpwstr>
  </property>
</Properties>
</file>